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9E0A00">
      <w:pPr>
        <w:pStyle w:val="2"/>
        <w:keepNext/>
        <w:keepLines/>
        <w:pageBreakBefore w:val="0"/>
        <w:widowControl w:val="0"/>
        <w:kinsoku/>
        <w:wordWrap/>
        <w:overflowPunct/>
        <w:topLinePunct w:val="0"/>
        <w:autoSpaceDE/>
        <w:autoSpaceDN/>
        <w:bidi w:val="0"/>
        <w:adjustRightInd/>
        <w:snapToGrid/>
        <w:spacing w:line="480" w:lineRule="auto"/>
        <w:jc w:val="center"/>
        <w:textAlignment w:val="auto"/>
        <w:rPr>
          <w:rFonts w:ascii="Calibri" w:hAnsi="Calibri" w:eastAsia="Calibri" w:cs="Calibri"/>
          <w:sz w:val="26"/>
          <w14:ligatures w14:val="standardContextual"/>
        </w:rPr>
      </w:pPr>
      <w:bookmarkStart w:id="0" w:name="_GoBack"/>
      <w:bookmarkEnd w:id="0"/>
      <w:r>
        <w:rPr>
          <w:rFonts w:ascii="Calibri" w:hAnsi="Calibri" w:eastAsia="Calibri" w:cs="Calibri"/>
          <w:sz w:val="26"/>
          <w14:ligatures w14:val="standardContextual"/>
        </w:rPr>
        <w:t>VASA® Floor C200 Floor Leveling Mortar</w:t>
      </w:r>
    </w:p>
    <w:p w14:paraId="55CA8A2A">
      <w:pPr>
        <w:snapToGrid/>
        <w:spacing w:line="240" w:lineRule="auto"/>
        <w:jc w:val="center"/>
        <w:rPr>
          <w:rFonts w:hint="eastAsia" w:eastAsiaTheme="minorEastAsia"/>
          <w:lang w:eastAsia="zh-CN"/>
        </w:rPr>
      </w:pPr>
      <w:r>
        <w:rPr>
          <w:rFonts w:ascii="Calibri" w:hAnsi="Calibri" w:eastAsia="Calibri" w:cs="Calibri"/>
          <w:b/>
          <w:color w:val="0D0D0D"/>
          <w:sz w:val="26"/>
          <w:shd w:val="clear" w:color="auto" w:fill="FFFFFF"/>
        </w:rPr>
        <w:t>Technical Data Sheet</w:t>
      </w:r>
    </w:p>
    <w:p w14:paraId="30DBBCE2">
      <w:pPr>
        <w:spacing w:line="240" w:lineRule="auto"/>
        <w:ind w:left="44" w:right="21" w:rightChars="10"/>
        <w:jc w:val="both"/>
        <w:rPr>
          <w:rFonts w:ascii="Calibri" w:hAnsi="Calibri" w:eastAsia="Calibri" w:cs="Calibri"/>
          <w:b/>
          <w:color w:val="000000"/>
        </w:rPr>
      </w:pPr>
    </w:p>
    <w:p w14:paraId="56234154">
      <w:pPr>
        <w:spacing w:line="240" w:lineRule="auto"/>
        <w:ind w:left="44" w:right="21" w:rightChars="10"/>
        <w:jc w:val="both"/>
        <w:rPr>
          <w:rFonts w:ascii="Calibri" w:hAnsi="Calibri" w:eastAsia="Calibri" w:cs="Calibri"/>
          <w:b/>
          <w:color w:val="000000"/>
        </w:rPr>
      </w:pPr>
      <w:r>
        <w:rPr>
          <w:rFonts w:hint="eastAsia" w:eastAsiaTheme="minorEastAsia"/>
          <w:lang w:eastAsia="zh-CN"/>
        </w:rPr>
        <w:drawing>
          <wp:anchor distT="0" distB="0" distL="114300" distR="114300" simplePos="0" relativeHeight="251659264" behindDoc="1" locked="0" layoutInCell="1" allowOverlap="1">
            <wp:simplePos x="0" y="0"/>
            <wp:positionH relativeFrom="column">
              <wp:posOffset>4132580</wp:posOffset>
            </wp:positionH>
            <wp:positionV relativeFrom="paragraph">
              <wp:posOffset>104140</wp:posOffset>
            </wp:positionV>
            <wp:extent cx="1426845" cy="2246630"/>
            <wp:effectExtent l="0" t="0" r="8255" b="1270"/>
            <wp:wrapTight wrapText="bothSides">
              <wp:wrapPolygon>
                <wp:start x="16150" y="0"/>
                <wp:lineTo x="0" y="855"/>
                <wp:lineTo x="0" y="20880"/>
                <wp:lineTo x="15765" y="21490"/>
                <wp:lineTo x="19418" y="21490"/>
                <wp:lineTo x="21340" y="20757"/>
                <wp:lineTo x="21340" y="855"/>
                <wp:lineTo x="19226" y="0"/>
                <wp:lineTo x="16150" y="0"/>
              </wp:wrapPolygon>
            </wp:wrapTight>
            <wp:docPr id="2" name="图片 2" descr="img_v3_02q5_453607d9-5946-4be1-a27e-d816334489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v3_02q5_453607d9-5946-4be1-a27e-d816334489cg"/>
                    <pic:cNvPicPr>
                      <a:picLocks noChangeAspect="1"/>
                    </pic:cNvPicPr>
                  </pic:nvPicPr>
                  <pic:blipFill>
                    <a:blip r:embed="rId10"/>
                    <a:stretch>
                      <a:fillRect/>
                    </a:stretch>
                  </pic:blipFill>
                  <pic:spPr>
                    <a:xfrm>
                      <a:off x="0" y="0"/>
                      <a:ext cx="1426845" cy="2246630"/>
                    </a:xfrm>
                    <a:prstGeom prst="rect">
                      <a:avLst/>
                    </a:prstGeom>
                  </pic:spPr>
                </pic:pic>
              </a:graphicData>
            </a:graphic>
          </wp:anchor>
        </w:drawing>
      </w:r>
      <w:r>
        <w:rPr>
          <w:rFonts w:ascii="Calibri" w:hAnsi="Calibri" w:eastAsia="Calibri" w:cs="Calibri"/>
          <w:b/>
          <w:color w:val="000000"/>
        </w:rPr>
        <w:t>DESCRIPTION</w:t>
      </w:r>
    </w:p>
    <w:p w14:paraId="218E05B7">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VASA Floor C200</w:t>
      </w:r>
      <w:r>
        <w:rPr>
          <w:rFonts w:hint="eastAsia" w:ascii="Calibri" w:hAnsi="Calibri" w:eastAsia="宋体" w:cs="Calibri"/>
          <w:color w:val="000000"/>
          <w:sz w:val="20"/>
          <w:lang w:val="en-US" w:eastAsia="zh-CN"/>
        </w:rPr>
        <w:t xml:space="preserve"> </w:t>
      </w:r>
      <w:r>
        <w:rPr>
          <w:rFonts w:ascii="Calibri" w:hAnsi="Calibri" w:eastAsia="Calibri" w:cs="Calibri"/>
          <w:color w:val="000000"/>
          <w:sz w:val="20"/>
        </w:rPr>
        <w:t>Floor Leveling Mortar is formulated with ordinary Portland cement as an inorganic binder, precisely graded sand as the aggregate, and a mix of functional additives. This product is ready to use after mixing with water and offers excellent crack resistance, easy application, and environmentally friendly features.</w:t>
      </w:r>
    </w:p>
    <w:p w14:paraId="607DFAEC">
      <w:pPr>
        <w:spacing w:line="240" w:lineRule="auto"/>
        <w:ind w:left="44" w:right="21" w:rightChars="10"/>
        <w:jc w:val="both"/>
        <w:rPr>
          <w:rFonts w:ascii="Calibri" w:hAnsi="Calibri" w:eastAsia="Calibri" w:cs="Calibri"/>
          <w:b/>
          <w:color w:val="000000"/>
        </w:rPr>
      </w:pPr>
    </w:p>
    <w:p w14:paraId="5C100779">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WHERE TO USE</w:t>
      </w:r>
    </w:p>
    <w:p w14:paraId="6DFBA1B1">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Floor leveling projects where the thickness exceeds 10mm.</w:t>
      </w:r>
    </w:p>
    <w:p w14:paraId="6977035A">
      <w:pPr>
        <w:snapToGrid/>
        <w:spacing w:line="240" w:lineRule="auto"/>
        <w:rPr>
          <w:rFonts w:hint="eastAsia"/>
        </w:rPr>
      </w:pPr>
    </w:p>
    <w:p w14:paraId="15C87DDF">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FEATURES AND BENEFITS</w:t>
      </w:r>
    </w:p>
    <w:p w14:paraId="47919640">
      <w:pPr>
        <w:numPr>
          <w:ilvl w:val="0"/>
          <w:numId w:val="1"/>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High crack resistance  </w:t>
      </w:r>
    </w:p>
    <w:p w14:paraId="373DDE9B">
      <w:pPr>
        <w:numPr>
          <w:ilvl w:val="0"/>
          <w:numId w:val="1"/>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Easy application  </w:t>
      </w:r>
    </w:p>
    <w:p w14:paraId="5B91B37A">
      <w:pPr>
        <w:numPr>
          <w:ilvl w:val="0"/>
          <w:numId w:val="1"/>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Environmentally friendly  </w:t>
      </w:r>
    </w:p>
    <w:p w14:paraId="7F9F40FC">
      <w:pPr>
        <w:snapToGrid/>
        <w:spacing w:line="240" w:lineRule="auto"/>
        <w:rPr>
          <w:rFonts w:hint="eastAsia"/>
        </w:rPr>
      </w:pPr>
    </w:p>
    <w:p w14:paraId="1B8CF271">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 xml:space="preserve">PRODUCT INFORMATION  </w:t>
      </w:r>
    </w:p>
    <w:p w14:paraId="093DAC4D">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This product complies with the DS standards in GB/T25181-2019 "Premixed Mortar."</w:t>
      </w:r>
      <w:r>
        <w:rPr>
          <w:rFonts w:hint="eastAsia" w:ascii="Calibri" w:hAnsi="Calibri" w:eastAsia="宋体" w:cs="Calibri"/>
          <w:color w:val="000000"/>
          <w:sz w:val="20"/>
          <w:lang w:val="en-US" w:eastAsia="zh-CN"/>
        </w:rPr>
        <w:t xml:space="preserve"> </w:t>
      </w:r>
      <w:r>
        <w:rPr>
          <w:rFonts w:ascii="Calibri" w:hAnsi="Calibri" w:eastAsia="Calibri" w:cs="Calibri"/>
          <w:color w:val="000000"/>
          <w:sz w:val="20"/>
        </w:rPr>
        <w:t xml:space="preserve">Main indicators are as follows:  </w:t>
      </w:r>
    </w:p>
    <w:tbl>
      <w:tblPr>
        <w:tblStyle w:val="6"/>
        <w:tblW w:w="8397" w:type="dxa"/>
        <w:jc w:val="center"/>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Layout w:type="fixed"/>
        <w:tblCellMar>
          <w:top w:w="0" w:type="dxa"/>
          <w:left w:w="108" w:type="dxa"/>
          <w:bottom w:w="0" w:type="dxa"/>
          <w:right w:w="108" w:type="dxa"/>
        </w:tblCellMar>
      </w:tblPr>
      <w:tblGrid>
        <w:gridCol w:w="743"/>
        <w:gridCol w:w="4850"/>
        <w:gridCol w:w="2804"/>
      </w:tblGrid>
      <w:tr w14:paraId="65E30E5D">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28" w:hRule="atLeast"/>
          <w:jc w:val="center"/>
        </w:trPr>
        <w:tc>
          <w:tcPr>
            <w:tcW w:w="743" w:type="dxa"/>
            <w:tcMar>
              <w:top w:w="0" w:type="dxa"/>
              <w:left w:w="0" w:type="dxa"/>
              <w:bottom w:w="0" w:type="dxa"/>
              <w:right w:w="0" w:type="dxa"/>
            </w:tcMar>
            <w:vAlign w:val="center"/>
          </w:tcPr>
          <w:p w14:paraId="1E07B1E2">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NO.</w:t>
            </w:r>
          </w:p>
        </w:tc>
        <w:tc>
          <w:tcPr>
            <w:tcW w:w="4850" w:type="dxa"/>
            <w:tcMar>
              <w:top w:w="0" w:type="dxa"/>
              <w:left w:w="0" w:type="dxa"/>
              <w:bottom w:w="0" w:type="dxa"/>
              <w:right w:w="0" w:type="dxa"/>
            </w:tcMar>
            <w:vAlign w:val="center"/>
          </w:tcPr>
          <w:p w14:paraId="283FEF83">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ITEM</w:t>
            </w:r>
          </w:p>
        </w:tc>
        <w:tc>
          <w:tcPr>
            <w:tcW w:w="2804" w:type="dxa"/>
            <w:tcMar>
              <w:top w:w="0" w:type="dxa"/>
              <w:left w:w="0" w:type="dxa"/>
              <w:bottom w:w="0" w:type="dxa"/>
              <w:right w:w="0" w:type="dxa"/>
            </w:tcMar>
            <w:vAlign w:val="center"/>
          </w:tcPr>
          <w:p w14:paraId="37D44836">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Tec</w:t>
            </w:r>
            <w:r>
              <w:rPr>
                <w:rFonts w:hint="eastAsia" w:ascii="Calibri" w:hAnsi="Calibri" w:eastAsia="宋体" w:cs="Calibri"/>
                <w:color w:val="000000"/>
                <w:sz w:val="20"/>
                <w:lang w:val="en-US" w:eastAsia="zh-CN"/>
              </w:rPr>
              <w:t>h</w:t>
            </w:r>
            <w:r>
              <w:rPr>
                <w:rFonts w:ascii="Calibri" w:hAnsi="Calibri" w:eastAsia="Calibri" w:cs="Calibri"/>
                <w:color w:val="000000"/>
                <w:sz w:val="20"/>
              </w:rPr>
              <w:t>nical indicator</w:t>
            </w:r>
          </w:p>
        </w:tc>
      </w:tr>
      <w:tr w14:paraId="3A1DA79B">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08" w:hRule="atLeast"/>
          <w:jc w:val="center"/>
        </w:trPr>
        <w:tc>
          <w:tcPr>
            <w:tcW w:w="743" w:type="dxa"/>
            <w:tcMar>
              <w:top w:w="0" w:type="dxa"/>
              <w:left w:w="0" w:type="dxa"/>
              <w:bottom w:w="0" w:type="dxa"/>
              <w:right w:w="0" w:type="dxa"/>
            </w:tcMar>
            <w:vAlign w:val="center"/>
          </w:tcPr>
          <w:p w14:paraId="52AB0251">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1</w:t>
            </w:r>
          </w:p>
        </w:tc>
        <w:tc>
          <w:tcPr>
            <w:tcW w:w="4850" w:type="dxa"/>
            <w:tcMar>
              <w:top w:w="0" w:type="dxa"/>
              <w:left w:w="0" w:type="dxa"/>
              <w:bottom w:w="0" w:type="dxa"/>
              <w:right w:w="0" w:type="dxa"/>
            </w:tcMar>
            <w:vAlign w:val="center"/>
          </w:tcPr>
          <w:p w14:paraId="0584B2EC">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 Appearance</w:t>
            </w:r>
          </w:p>
        </w:tc>
        <w:tc>
          <w:tcPr>
            <w:tcW w:w="2804" w:type="dxa"/>
            <w:tcMar>
              <w:top w:w="0" w:type="dxa"/>
              <w:left w:w="0" w:type="dxa"/>
              <w:bottom w:w="0" w:type="dxa"/>
              <w:right w:w="0" w:type="dxa"/>
            </w:tcMar>
            <w:vAlign w:val="center"/>
          </w:tcPr>
          <w:p w14:paraId="4ED0C4E0">
            <w:pPr>
              <w:snapToGrid/>
              <w:spacing w:line="240" w:lineRule="auto"/>
              <w:ind w:left="44" w:right="21" w:rightChars="10"/>
              <w:jc w:val="center"/>
              <w:rPr>
                <w:rFonts w:ascii="Calibri" w:hAnsi="Calibri" w:eastAsia="Calibri" w:cs="Calibri"/>
                <w:color w:val="000000"/>
                <w:sz w:val="20"/>
              </w:rPr>
            </w:pPr>
            <w:r>
              <w:rPr>
                <w:rFonts w:ascii="Calibri" w:hAnsi="Calibri" w:eastAsia="Calibri" w:cs="Calibri"/>
                <w:color w:val="000000"/>
                <w:sz w:val="20"/>
              </w:rPr>
              <w:t xml:space="preserve">Uniform,without lumps  </w:t>
            </w:r>
          </w:p>
        </w:tc>
      </w:tr>
      <w:tr w14:paraId="0E50A4EE">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15" w:hRule="atLeast"/>
          <w:jc w:val="center"/>
        </w:trPr>
        <w:tc>
          <w:tcPr>
            <w:tcW w:w="743" w:type="dxa"/>
            <w:tcMar>
              <w:top w:w="0" w:type="dxa"/>
              <w:left w:w="0" w:type="dxa"/>
              <w:bottom w:w="0" w:type="dxa"/>
              <w:right w:w="0" w:type="dxa"/>
            </w:tcMar>
            <w:vAlign w:val="center"/>
          </w:tcPr>
          <w:p w14:paraId="1EB3C42C">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2</w:t>
            </w:r>
          </w:p>
        </w:tc>
        <w:tc>
          <w:tcPr>
            <w:tcW w:w="4850" w:type="dxa"/>
            <w:tcMar>
              <w:top w:w="0" w:type="dxa"/>
              <w:left w:w="0" w:type="dxa"/>
              <w:bottom w:w="0" w:type="dxa"/>
              <w:right w:w="0" w:type="dxa"/>
            </w:tcMar>
            <w:vAlign w:val="center"/>
          </w:tcPr>
          <w:p w14:paraId="71797DC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Water retention rate ≥</w:t>
            </w:r>
          </w:p>
        </w:tc>
        <w:tc>
          <w:tcPr>
            <w:tcW w:w="2804" w:type="dxa"/>
            <w:tcMar>
              <w:top w:w="0" w:type="dxa"/>
              <w:left w:w="0" w:type="dxa"/>
              <w:bottom w:w="0" w:type="dxa"/>
              <w:right w:w="0" w:type="dxa"/>
            </w:tcMar>
            <w:vAlign w:val="center"/>
          </w:tcPr>
          <w:p w14:paraId="5CDC6662">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88%  </w:t>
            </w:r>
          </w:p>
        </w:tc>
      </w:tr>
      <w:tr w14:paraId="24C5D75F">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37" w:hRule="atLeast"/>
          <w:jc w:val="center"/>
        </w:trPr>
        <w:tc>
          <w:tcPr>
            <w:tcW w:w="743" w:type="dxa"/>
            <w:tcMar>
              <w:top w:w="0" w:type="dxa"/>
              <w:left w:w="0" w:type="dxa"/>
              <w:bottom w:w="0" w:type="dxa"/>
              <w:right w:w="0" w:type="dxa"/>
            </w:tcMar>
            <w:vAlign w:val="center"/>
          </w:tcPr>
          <w:p w14:paraId="46D40472">
            <w:pPr>
              <w:snapToGrid/>
              <w:spacing w:before="0" w:after="0" w:line="240" w:lineRule="auto"/>
              <w:jc w:val="center"/>
              <w:rPr>
                <w:rFonts w:ascii="Calibri" w:hAnsi="Calibri" w:eastAsia="Calibri" w:cs="Calibri"/>
                <w:color w:val="000000"/>
                <w:sz w:val="20"/>
              </w:rPr>
            </w:pPr>
            <w:r>
              <w:rPr>
                <w:rFonts w:ascii="Calibri" w:hAnsi="Calibri" w:eastAsia="Calibri" w:cs="Calibri"/>
                <w:color w:val="000000"/>
                <w:sz w:val="20"/>
              </w:rPr>
              <w:t>3</w:t>
            </w:r>
          </w:p>
        </w:tc>
        <w:tc>
          <w:tcPr>
            <w:tcW w:w="4850" w:type="dxa"/>
            <w:tcMar>
              <w:top w:w="0" w:type="dxa"/>
              <w:left w:w="0" w:type="dxa"/>
              <w:bottom w:w="0" w:type="dxa"/>
              <w:right w:w="0" w:type="dxa"/>
            </w:tcMar>
            <w:vAlign w:val="center"/>
          </w:tcPr>
          <w:p w14:paraId="4EBB55EA">
            <w:pPr>
              <w:snapToGrid/>
              <w:spacing w:before="0" w:after="0" w:line="240" w:lineRule="auto"/>
              <w:jc w:val="center"/>
              <w:rPr>
                <w:rFonts w:ascii="Calibri" w:hAnsi="Calibri" w:eastAsia="Calibri" w:cs="Calibri"/>
                <w:color w:val="000000"/>
                <w:sz w:val="20"/>
              </w:rPr>
            </w:pPr>
            <w:r>
              <w:rPr>
                <w:rFonts w:ascii="Calibri" w:hAnsi="Calibri" w:eastAsia="Calibri" w:cs="Calibri"/>
                <w:color w:val="000000"/>
                <w:sz w:val="20"/>
              </w:rPr>
              <w:t>Setting time</w:t>
            </w:r>
          </w:p>
        </w:tc>
        <w:tc>
          <w:tcPr>
            <w:tcW w:w="2804" w:type="dxa"/>
            <w:tcMar>
              <w:top w:w="0" w:type="dxa"/>
              <w:left w:w="0" w:type="dxa"/>
              <w:bottom w:w="0" w:type="dxa"/>
              <w:right w:w="0" w:type="dxa"/>
            </w:tcMar>
            <w:vAlign w:val="center"/>
          </w:tcPr>
          <w:p w14:paraId="03DBDD4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3-9 h</w:t>
            </w:r>
          </w:p>
        </w:tc>
      </w:tr>
      <w:tr w14:paraId="651BEE19">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31" w:hRule="atLeast"/>
          <w:jc w:val="center"/>
        </w:trPr>
        <w:tc>
          <w:tcPr>
            <w:tcW w:w="743" w:type="dxa"/>
            <w:tcMar>
              <w:top w:w="0" w:type="dxa"/>
              <w:left w:w="0" w:type="dxa"/>
              <w:bottom w:w="0" w:type="dxa"/>
              <w:right w:w="0" w:type="dxa"/>
            </w:tcMar>
            <w:vAlign w:val="center"/>
          </w:tcPr>
          <w:p w14:paraId="54E42FC7">
            <w:pPr>
              <w:snapToGrid/>
              <w:spacing w:before="0" w:after="0" w:line="240" w:lineRule="auto"/>
              <w:jc w:val="center"/>
              <w:rPr>
                <w:rFonts w:ascii="Calibri" w:hAnsi="Calibri" w:eastAsia="Calibri" w:cs="Calibri"/>
                <w:color w:val="000000"/>
                <w:sz w:val="20"/>
              </w:rPr>
            </w:pPr>
            <w:r>
              <w:rPr>
                <w:rFonts w:ascii="Calibri" w:hAnsi="Calibri" w:eastAsia="Calibri" w:cs="Calibri"/>
                <w:color w:val="000000"/>
                <w:sz w:val="20"/>
              </w:rPr>
              <w:t>4</w:t>
            </w:r>
          </w:p>
        </w:tc>
        <w:tc>
          <w:tcPr>
            <w:tcW w:w="4850" w:type="dxa"/>
            <w:tcMar>
              <w:top w:w="0" w:type="dxa"/>
              <w:left w:w="0" w:type="dxa"/>
              <w:bottom w:w="0" w:type="dxa"/>
              <w:right w:w="0" w:type="dxa"/>
            </w:tcMar>
            <w:vAlign w:val="center"/>
          </w:tcPr>
          <w:p w14:paraId="5109BE15">
            <w:pPr>
              <w:snapToGrid/>
              <w:spacing w:before="0" w:after="0" w:line="240" w:lineRule="auto"/>
              <w:ind w:right="21" w:rightChars="10"/>
              <w:jc w:val="center"/>
              <w:rPr>
                <w:rFonts w:ascii="Calibri" w:hAnsi="Calibri" w:eastAsia="Calibri" w:cs="Calibri"/>
                <w:color w:val="000000"/>
                <w:sz w:val="20"/>
              </w:rPr>
            </w:pPr>
            <w:r>
              <w:rPr>
                <w:rFonts w:ascii="Calibri" w:hAnsi="Calibri" w:eastAsia="Calibri" w:cs="Calibri"/>
                <w:color w:val="000000"/>
                <w:sz w:val="20"/>
              </w:rPr>
              <w:t>2h consistency loss rate≤</w:t>
            </w:r>
          </w:p>
        </w:tc>
        <w:tc>
          <w:tcPr>
            <w:tcW w:w="2804" w:type="dxa"/>
            <w:tcMar>
              <w:top w:w="0" w:type="dxa"/>
              <w:left w:w="0" w:type="dxa"/>
              <w:bottom w:w="0" w:type="dxa"/>
              <w:right w:w="0" w:type="dxa"/>
            </w:tcMar>
            <w:vAlign w:val="center"/>
          </w:tcPr>
          <w:p w14:paraId="7DCE0ED5">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 30%  </w:t>
            </w:r>
          </w:p>
        </w:tc>
      </w:tr>
      <w:tr w14:paraId="2DEBE06D">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20" w:hRule="atLeast"/>
          <w:jc w:val="center"/>
        </w:trPr>
        <w:tc>
          <w:tcPr>
            <w:tcW w:w="743" w:type="dxa"/>
            <w:tcMar>
              <w:top w:w="0" w:type="dxa"/>
              <w:left w:w="0" w:type="dxa"/>
              <w:bottom w:w="0" w:type="dxa"/>
              <w:right w:w="0" w:type="dxa"/>
            </w:tcMar>
            <w:vAlign w:val="center"/>
          </w:tcPr>
          <w:p w14:paraId="7B8A247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5</w:t>
            </w:r>
          </w:p>
        </w:tc>
        <w:tc>
          <w:tcPr>
            <w:tcW w:w="4850" w:type="dxa"/>
            <w:tcMar>
              <w:top w:w="0" w:type="dxa"/>
              <w:left w:w="0" w:type="dxa"/>
              <w:bottom w:w="0" w:type="dxa"/>
              <w:right w:w="0" w:type="dxa"/>
            </w:tcMar>
            <w:vAlign w:val="center"/>
          </w:tcPr>
          <w:p w14:paraId="7DA72028">
            <w:pPr>
              <w:snapToGrid/>
              <w:spacing w:before="0" w:after="0" w:line="240" w:lineRule="auto"/>
              <w:jc w:val="center"/>
              <w:rPr>
                <w:rFonts w:ascii="Calibri" w:hAnsi="Calibri" w:eastAsia="Calibri" w:cs="Calibri"/>
                <w:color w:val="000000"/>
                <w:sz w:val="20"/>
              </w:rPr>
            </w:pPr>
            <w:r>
              <w:rPr>
                <w:rFonts w:ascii="Calibri" w:hAnsi="Calibri" w:eastAsia="Calibri" w:cs="Calibri"/>
                <w:color w:val="000000"/>
                <w:sz w:val="20"/>
              </w:rPr>
              <w:t xml:space="preserve">Compressive strength ≥ </w:t>
            </w:r>
          </w:p>
        </w:tc>
        <w:tc>
          <w:tcPr>
            <w:tcW w:w="2804" w:type="dxa"/>
            <w:tcMar>
              <w:top w:w="0" w:type="dxa"/>
              <w:left w:w="0" w:type="dxa"/>
              <w:bottom w:w="0" w:type="dxa"/>
              <w:right w:w="0" w:type="dxa"/>
            </w:tcMar>
            <w:vAlign w:val="center"/>
          </w:tcPr>
          <w:p w14:paraId="0F89A0D6">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20MPa</w:t>
            </w:r>
          </w:p>
        </w:tc>
      </w:tr>
    </w:tbl>
    <w:p w14:paraId="4D0D6F4B">
      <w:pPr>
        <w:snapToGrid/>
        <w:spacing w:line="240" w:lineRule="auto"/>
        <w:rPr>
          <w:rFonts w:ascii="Calibri" w:hAnsi="Calibri" w:eastAsia="Calibri" w:cs="Calibri"/>
          <w:color w:val="000000"/>
          <w:sz w:val="20"/>
        </w:rPr>
      </w:pPr>
      <w:r>
        <w:rPr>
          <w:rFonts w:ascii="Calibri" w:hAnsi="Calibri" w:eastAsia="Calibri" w:cs="Calibri"/>
          <w:color w:val="000000"/>
          <w:sz w:val="20"/>
        </w:rPr>
        <w:t>Note:Compressive strength depends on the actual grade of supply.</w:t>
      </w:r>
    </w:p>
    <w:p w14:paraId="177364D8">
      <w:pPr>
        <w:snapToGrid/>
        <w:spacing w:line="240" w:lineRule="auto"/>
        <w:rPr>
          <w:rFonts w:hint="eastAsia"/>
        </w:rPr>
      </w:pPr>
    </w:p>
    <w:p w14:paraId="40F068B8">
      <w:pPr>
        <w:spacing w:line="240" w:lineRule="auto"/>
        <w:ind w:right="21" w:rightChars="10"/>
        <w:jc w:val="both"/>
        <w:rPr>
          <w:rFonts w:ascii="Calibri" w:hAnsi="Calibri" w:eastAsia="Calibri" w:cs="Calibri"/>
          <w:b/>
          <w:color w:val="000000"/>
        </w:rPr>
      </w:pPr>
      <w:r>
        <w:rPr>
          <w:rFonts w:ascii="Calibri" w:hAnsi="Calibri" w:eastAsia="Calibri" w:cs="Calibri"/>
          <w:b/>
          <w:color w:val="000000"/>
        </w:rPr>
        <w:t xml:space="preserve">APPLICATION PROCEDURE </w:t>
      </w:r>
    </w:p>
    <w:p w14:paraId="61EE21CD">
      <w:pPr>
        <w:spacing w:line="240" w:lineRule="auto"/>
        <w:jc w:val="both"/>
        <w:rPr>
          <w:rFonts w:ascii="Calibri" w:hAnsi="Calibri" w:eastAsia="Calibri" w:cs="Calibri"/>
          <w:b/>
          <w:color w:val="000000"/>
        </w:rPr>
      </w:pPr>
      <w:r>
        <w:rPr>
          <w:rFonts w:ascii="Calibri" w:hAnsi="Calibri" w:eastAsia="Calibri" w:cs="Calibri"/>
          <w:b/>
          <w:color w:val="000000"/>
        </w:rPr>
        <w:t>Construction Tools</w:t>
      </w:r>
    </w:p>
    <w:p w14:paraId="07938FD7">
      <w:pPr>
        <w:snapToGrid/>
        <w:spacing w:line="240" w:lineRule="auto"/>
        <w:ind w:left="22"/>
        <w:rPr>
          <w:rFonts w:ascii="Calibri" w:hAnsi="Calibri" w:eastAsia="Calibri" w:cs="Calibri"/>
          <w:color w:val="000000"/>
          <w:sz w:val="20"/>
        </w:rPr>
      </w:pPr>
      <w:r>
        <w:rPr>
          <w:rFonts w:ascii="Calibri" w:hAnsi="Calibri" w:eastAsia="Calibri" w:cs="Calibri"/>
          <w:color w:val="000000"/>
          <w:sz w:val="20"/>
        </w:rPr>
        <w:t>Mortar mixer, scraper, spatula, etc</w:t>
      </w:r>
    </w:p>
    <w:p w14:paraId="4301E0D4">
      <w:pPr>
        <w:spacing w:line="240" w:lineRule="auto"/>
        <w:jc w:val="both"/>
        <w:rPr>
          <w:rFonts w:ascii="Calibri" w:hAnsi="Calibri" w:eastAsia="Calibri" w:cs="Calibri"/>
          <w:b/>
          <w:color w:val="000000"/>
        </w:rPr>
      </w:pPr>
      <w:r>
        <w:rPr>
          <w:rFonts w:ascii="Calibri" w:hAnsi="Calibri" w:eastAsia="Calibri" w:cs="Calibri"/>
          <w:b/>
          <w:color w:val="000000"/>
        </w:rPr>
        <w:t>Construction Process</w:t>
      </w:r>
    </w:p>
    <w:p w14:paraId="3A1B07EC">
      <w:pPr>
        <w:numPr>
          <w:ilvl w:val="0"/>
          <w:numId w:val="2"/>
        </w:numPr>
        <w:spacing w:line="240" w:lineRule="auto"/>
        <w:jc w:val="both"/>
        <w:rPr>
          <w:rFonts w:ascii="Calibri" w:hAnsi="Calibri" w:eastAsia="Calibri" w:cs="Calibri"/>
          <w:b/>
          <w:color w:val="000000"/>
        </w:rPr>
      </w:pPr>
      <w:r>
        <w:rPr>
          <w:rFonts w:ascii="Calibri" w:hAnsi="Calibri" w:eastAsia="Calibri" w:cs="Calibri"/>
          <w:b/>
          <w:color w:val="000000"/>
        </w:rPr>
        <w:t>Substrate Treatment</w:t>
      </w:r>
    </w:p>
    <w:p w14:paraId="3A0BB995">
      <w:pPr>
        <w:snapToGrid/>
        <w:spacing w:line="240" w:lineRule="auto"/>
        <w:ind w:left="22"/>
        <w:rPr>
          <w:rFonts w:ascii="Calibri" w:hAnsi="Calibri" w:eastAsia="Calibri" w:cs="Calibri"/>
          <w:color w:val="000000"/>
          <w:sz w:val="20"/>
        </w:rPr>
      </w:pPr>
      <w:r>
        <w:rPr>
          <w:rFonts w:ascii="Calibri" w:hAnsi="Calibri" w:eastAsia="Calibri" w:cs="Calibri"/>
          <w:color w:val="000000"/>
          <w:sz w:val="20"/>
        </w:rPr>
        <w:t>The surface should be clean and solid. Remove any dust, grease,  particles, or other loose materials that may affect adhesion. The surface should be moistened before applying the leveling mortar, and the application should begin when the surface is free of visible water. For surfaces with low strength or high absorbency, apply two coats of VASA PMC-500 primer before proceeding. For smooth surfaces, roughen or create a bonding texture.</w:t>
      </w:r>
    </w:p>
    <w:p w14:paraId="6EDB6297">
      <w:pPr>
        <w:snapToGrid/>
        <w:spacing w:line="240" w:lineRule="auto"/>
        <w:rPr>
          <w:rFonts w:hint="eastAsia"/>
        </w:rPr>
      </w:pPr>
    </w:p>
    <w:p w14:paraId="71623669">
      <w:pPr>
        <w:numPr>
          <w:ilvl w:val="0"/>
          <w:numId w:val="2"/>
        </w:numPr>
        <w:spacing w:line="240" w:lineRule="auto"/>
        <w:jc w:val="both"/>
        <w:rPr>
          <w:rFonts w:ascii="Calibri" w:hAnsi="Calibri" w:eastAsia="Calibri" w:cs="Calibri"/>
          <w:b/>
          <w:color w:val="000000"/>
        </w:rPr>
      </w:pPr>
      <w:r>
        <w:rPr>
          <w:rFonts w:ascii="Calibri" w:hAnsi="Calibri" w:eastAsia="Calibri" w:cs="Calibri"/>
          <w:b/>
          <w:color w:val="000000"/>
        </w:rPr>
        <w:t>Level Marking</w:t>
      </w:r>
    </w:p>
    <w:p w14:paraId="5FCE4836">
      <w:pPr>
        <w:snapToGrid/>
        <w:spacing w:line="240" w:lineRule="auto"/>
        <w:ind w:left="22"/>
        <w:rPr>
          <w:rFonts w:ascii="Calibri" w:hAnsi="Calibri" w:eastAsia="Calibri" w:cs="Calibri"/>
          <w:color w:val="000000"/>
          <w:sz w:val="20"/>
        </w:rPr>
      </w:pPr>
      <w:r>
        <w:rPr>
          <w:rFonts w:ascii="Calibri" w:hAnsi="Calibri" w:eastAsia="Calibri" w:cs="Calibri"/>
          <w:color w:val="000000"/>
          <w:sz w:val="20"/>
        </w:rPr>
        <w:t xml:space="preserve">Use a level to mark the standard height and design thickness on walls and columns. </w:t>
      </w:r>
    </w:p>
    <w:p w14:paraId="07B53961">
      <w:pPr>
        <w:snapToGrid/>
        <w:spacing w:line="240" w:lineRule="auto"/>
        <w:ind w:left="22"/>
        <w:rPr>
          <w:rFonts w:ascii="Calibri" w:hAnsi="Calibri" w:eastAsia="Calibri" w:cs="Calibri"/>
          <w:color w:val="000000"/>
          <w:sz w:val="20"/>
        </w:rPr>
      </w:pPr>
    </w:p>
    <w:p w14:paraId="4E66F815">
      <w:pPr>
        <w:snapToGrid/>
        <w:spacing w:line="240" w:lineRule="auto"/>
        <w:ind w:left="22"/>
        <w:rPr>
          <w:rFonts w:ascii="Calibri" w:hAnsi="Calibri" w:eastAsia="Calibri" w:cs="Calibri"/>
          <w:color w:val="000000"/>
          <w:sz w:val="20"/>
        </w:rPr>
      </w:pPr>
      <w:r>
        <w:rPr>
          <w:rFonts w:ascii="Calibri" w:hAnsi="Calibri" w:eastAsia="Calibri" w:cs="Calibri"/>
          <w:color w:val="000000"/>
          <w:sz w:val="20"/>
        </w:rPr>
        <w:t>Plaster control points  around the wall according to the leveling control line, , the size of the control points  are generally 50x50mm, the horizontal and vertical spacing is 1.5-2.0 meters. Create control points around the walls with leveling mortar (VASA</w:t>
      </w:r>
      <w:r>
        <w:rPr>
          <w:rFonts w:hint="eastAsia" w:ascii="Calibri" w:hAnsi="Calibri" w:eastAsia="宋体" w:cs="Calibri"/>
          <w:color w:val="000000"/>
          <w:sz w:val="20"/>
          <w:lang w:val="en-US" w:eastAsia="zh-CN"/>
        </w:rPr>
        <w:t xml:space="preserve"> </w:t>
      </w:r>
      <w:r>
        <w:rPr>
          <w:rFonts w:ascii="Calibri" w:hAnsi="Calibri" w:eastAsia="Calibri" w:cs="Calibri"/>
          <w:color w:val="000000"/>
          <w:sz w:val="20"/>
        </w:rPr>
        <w:t>Floor C200) to guide the application.</w:t>
      </w:r>
    </w:p>
    <w:p w14:paraId="5F482028">
      <w:pPr>
        <w:snapToGrid/>
        <w:spacing w:line="240" w:lineRule="auto"/>
        <w:rPr>
          <w:rFonts w:hint="eastAsia"/>
        </w:rPr>
      </w:pPr>
    </w:p>
    <w:p w14:paraId="6D069943">
      <w:pPr>
        <w:numPr>
          <w:ilvl w:val="0"/>
          <w:numId w:val="2"/>
        </w:numPr>
        <w:spacing w:line="240" w:lineRule="auto"/>
        <w:jc w:val="both"/>
        <w:rPr>
          <w:rFonts w:ascii="Calibri" w:hAnsi="Calibri" w:eastAsia="Calibri" w:cs="Calibri"/>
          <w:b/>
          <w:color w:val="000000"/>
        </w:rPr>
      </w:pPr>
      <w:r>
        <w:rPr>
          <w:rFonts w:ascii="Calibri" w:hAnsi="Calibri" w:eastAsia="Calibri" w:cs="Calibri"/>
          <w:b/>
          <w:color w:val="000000"/>
        </w:rPr>
        <w:t>Mortar Mixing</w:t>
      </w:r>
    </w:p>
    <w:p w14:paraId="31328D69">
      <w:pPr>
        <w:snapToGrid/>
        <w:spacing w:line="240" w:lineRule="auto"/>
        <w:ind w:left="22"/>
        <w:rPr>
          <w:rFonts w:ascii="Calibri" w:hAnsi="Calibri" w:eastAsia="Calibri" w:cs="Calibri"/>
          <w:color w:val="000000"/>
          <w:sz w:val="20"/>
        </w:rPr>
      </w:pPr>
      <w:r>
        <w:rPr>
          <w:rFonts w:ascii="Calibri" w:hAnsi="Calibri" w:eastAsia="Calibri" w:cs="Calibri"/>
          <w:color w:val="000000"/>
          <w:sz w:val="20"/>
        </w:rPr>
        <w:t>Adjust the water addition based on the product certificate and specific requirements. Add water first, then slowly add the powder while mixing. Mix until the mortar is uniform and free of lumps, then allow it to stand for 3-5 minutes before mixing again for 15-30 seconds. The mortar is now ready to use.</w:t>
      </w:r>
    </w:p>
    <w:p w14:paraId="7B67C889">
      <w:pPr>
        <w:snapToGrid/>
        <w:spacing w:line="240" w:lineRule="auto"/>
        <w:rPr>
          <w:rFonts w:hint="eastAsia"/>
        </w:rPr>
      </w:pPr>
    </w:p>
    <w:p w14:paraId="57853657">
      <w:pPr>
        <w:numPr>
          <w:ilvl w:val="0"/>
          <w:numId w:val="2"/>
        </w:numPr>
        <w:spacing w:line="240" w:lineRule="auto"/>
        <w:jc w:val="both"/>
        <w:rPr>
          <w:rFonts w:ascii="Calibri" w:hAnsi="Calibri" w:eastAsia="Calibri" w:cs="Calibri"/>
          <w:b/>
          <w:color w:val="000000"/>
        </w:rPr>
      </w:pPr>
      <w:r>
        <w:rPr>
          <w:rFonts w:ascii="Calibri" w:hAnsi="Calibri" w:eastAsia="Calibri" w:cs="Calibri"/>
          <w:b/>
          <w:color w:val="000000"/>
        </w:rPr>
        <w:t>Leveling Application</w:t>
      </w:r>
    </w:p>
    <w:p w14:paraId="2C828A23">
      <w:pPr>
        <w:snapToGrid/>
        <w:spacing w:line="240" w:lineRule="auto"/>
        <w:ind w:left="22"/>
        <w:rPr>
          <w:rFonts w:ascii="Calibri" w:hAnsi="Calibri" w:eastAsia="Calibri" w:cs="Calibri"/>
          <w:color w:val="000000"/>
          <w:sz w:val="20"/>
        </w:rPr>
      </w:pPr>
      <w:r>
        <w:rPr>
          <w:rFonts w:ascii="Calibri" w:hAnsi="Calibri" w:eastAsia="Calibri" w:cs="Calibri"/>
          <w:color w:val="000000"/>
          <w:sz w:val="20"/>
        </w:rPr>
        <w:t>Spread the mortar evenly over the floor surface, ensuring the thickness is slightly higher than the control points by 1-2mm. Use a screed to level the mortar, following the height of the control points. Compaction and smoothing must be completed before the mortar sets. The minimum application thickness should not be less than 10mm. For sloped areas, follow the design specifications.</w:t>
      </w:r>
    </w:p>
    <w:p w14:paraId="26FA3516">
      <w:pPr>
        <w:snapToGrid/>
        <w:spacing w:line="240" w:lineRule="auto"/>
        <w:rPr>
          <w:rFonts w:hint="eastAsia"/>
        </w:rPr>
      </w:pPr>
    </w:p>
    <w:p w14:paraId="67D354B2">
      <w:pPr>
        <w:numPr>
          <w:ilvl w:val="0"/>
          <w:numId w:val="2"/>
        </w:numPr>
        <w:spacing w:line="240" w:lineRule="auto"/>
        <w:jc w:val="both"/>
        <w:rPr>
          <w:rFonts w:ascii="Calibri" w:hAnsi="Calibri" w:eastAsia="Calibri" w:cs="Calibri"/>
          <w:b/>
          <w:color w:val="000000"/>
        </w:rPr>
      </w:pPr>
      <w:r>
        <w:rPr>
          <w:rFonts w:ascii="Calibri" w:hAnsi="Calibri" w:eastAsia="Calibri" w:cs="Calibri"/>
          <w:b/>
          <w:color w:val="000000"/>
        </w:rPr>
        <w:t>Cleaning and Curing</w:t>
      </w:r>
    </w:p>
    <w:p w14:paraId="31652A59">
      <w:pPr>
        <w:snapToGrid/>
        <w:spacing w:line="240" w:lineRule="auto"/>
        <w:ind w:left="22"/>
        <w:rPr>
          <w:rFonts w:ascii="Calibri" w:hAnsi="Calibri" w:eastAsia="Calibri" w:cs="Calibri"/>
          <w:color w:val="000000"/>
          <w:sz w:val="20"/>
        </w:rPr>
      </w:pPr>
      <w:r>
        <w:rPr>
          <w:rFonts w:ascii="Calibri" w:hAnsi="Calibri" w:eastAsia="Calibri" w:cs="Calibri"/>
          <w:color w:val="000000"/>
          <w:sz w:val="20"/>
        </w:rPr>
        <w:t>After the mortar sets and hardens, maintain moisture by curing for at least 7 days.</w:t>
      </w:r>
    </w:p>
    <w:p w14:paraId="11167193">
      <w:pPr>
        <w:snapToGrid/>
        <w:spacing w:line="240" w:lineRule="auto"/>
        <w:rPr>
          <w:rFonts w:hint="eastAsia"/>
        </w:rPr>
      </w:pPr>
    </w:p>
    <w:p w14:paraId="250FD4B1">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TECHNICAL INFORMATION</w:t>
      </w:r>
    </w:p>
    <w:tbl>
      <w:tblPr>
        <w:tblStyle w:val="6"/>
        <w:tblW w:w="8659" w:type="dxa"/>
        <w:jc w:val="center"/>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Layout w:type="fixed"/>
        <w:tblCellMar>
          <w:top w:w="0" w:type="dxa"/>
          <w:left w:w="108" w:type="dxa"/>
          <w:bottom w:w="0" w:type="dxa"/>
          <w:right w:w="108" w:type="dxa"/>
        </w:tblCellMar>
      </w:tblPr>
      <w:tblGrid>
        <w:gridCol w:w="2622"/>
        <w:gridCol w:w="6037"/>
      </w:tblGrid>
      <w:tr w14:paraId="62107DAA">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30" w:hRule="atLeast"/>
          <w:jc w:val="center"/>
        </w:trPr>
        <w:tc>
          <w:tcPr>
            <w:tcW w:w="2622" w:type="dxa"/>
            <w:tcMar>
              <w:top w:w="0" w:type="dxa"/>
              <w:left w:w="0" w:type="dxa"/>
              <w:bottom w:w="0" w:type="dxa"/>
              <w:right w:w="0" w:type="dxa"/>
            </w:tcMar>
            <w:vAlign w:val="center"/>
          </w:tcPr>
          <w:p w14:paraId="6B5F5E4B">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Packing Specification</w:t>
            </w:r>
          </w:p>
        </w:tc>
        <w:tc>
          <w:tcPr>
            <w:tcW w:w="6037" w:type="dxa"/>
            <w:tcMar>
              <w:top w:w="0" w:type="dxa"/>
              <w:left w:w="0" w:type="dxa"/>
              <w:bottom w:w="0" w:type="dxa"/>
              <w:right w:w="0" w:type="dxa"/>
            </w:tcMar>
            <w:vAlign w:val="center"/>
          </w:tcPr>
          <w:p w14:paraId="44B154D6">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40kg/bulk  </w:t>
            </w:r>
          </w:p>
        </w:tc>
      </w:tr>
      <w:tr w14:paraId="7785B7A1">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30" w:hRule="atLeast"/>
          <w:jc w:val="center"/>
        </w:trPr>
        <w:tc>
          <w:tcPr>
            <w:tcW w:w="2622" w:type="dxa"/>
            <w:tcMar>
              <w:top w:w="0" w:type="dxa"/>
              <w:left w:w="0" w:type="dxa"/>
              <w:bottom w:w="0" w:type="dxa"/>
              <w:right w:w="0" w:type="dxa"/>
            </w:tcMar>
            <w:vAlign w:val="center"/>
          </w:tcPr>
          <w:p w14:paraId="2DB1E07D">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Character</w:t>
            </w:r>
          </w:p>
        </w:tc>
        <w:tc>
          <w:tcPr>
            <w:tcW w:w="6037" w:type="dxa"/>
            <w:tcMar>
              <w:top w:w="0" w:type="dxa"/>
              <w:left w:w="0" w:type="dxa"/>
              <w:bottom w:w="0" w:type="dxa"/>
              <w:right w:w="0" w:type="dxa"/>
            </w:tcMar>
            <w:vAlign w:val="center"/>
          </w:tcPr>
          <w:p w14:paraId="1BFDED4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Gray powder</w:t>
            </w:r>
          </w:p>
        </w:tc>
      </w:tr>
      <w:tr w14:paraId="31BFFAB5">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68" w:hRule="atLeast"/>
          <w:jc w:val="center"/>
        </w:trPr>
        <w:tc>
          <w:tcPr>
            <w:tcW w:w="2622" w:type="dxa"/>
            <w:tcMar>
              <w:top w:w="0" w:type="dxa"/>
              <w:left w:w="0" w:type="dxa"/>
              <w:bottom w:w="0" w:type="dxa"/>
              <w:right w:w="0" w:type="dxa"/>
            </w:tcMar>
            <w:vAlign w:val="center"/>
          </w:tcPr>
          <w:p w14:paraId="5FE283B6">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Mixing Ratio</w:t>
            </w:r>
          </w:p>
        </w:tc>
        <w:tc>
          <w:tcPr>
            <w:tcW w:w="6037" w:type="dxa"/>
            <w:tcMar>
              <w:top w:w="0" w:type="dxa"/>
              <w:left w:w="0" w:type="dxa"/>
              <w:bottom w:w="0" w:type="dxa"/>
              <w:right w:w="0" w:type="dxa"/>
            </w:tcMar>
            <w:vAlign w:val="center"/>
          </w:tcPr>
          <w:p w14:paraId="0FE3D06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Refer to the product certificate  </w:t>
            </w:r>
          </w:p>
        </w:tc>
      </w:tr>
      <w:tr w14:paraId="5697492D">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68" w:hRule="atLeast"/>
          <w:jc w:val="center"/>
        </w:trPr>
        <w:tc>
          <w:tcPr>
            <w:tcW w:w="2622" w:type="dxa"/>
            <w:tcMar>
              <w:top w:w="0" w:type="dxa"/>
              <w:left w:w="0" w:type="dxa"/>
              <w:bottom w:w="0" w:type="dxa"/>
              <w:right w:w="0" w:type="dxa"/>
            </w:tcMar>
            <w:vAlign w:val="center"/>
          </w:tcPr>
          <w:p w14:paraId="2D01B710">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Shelf</w:t>
            </w:r>
            <w:r>
              <w:rPr>
                <w:rFonts w:hint="eastAsia" w:ascii="Calibri" w:hAnsi="Calibri" w:eastAsia="宋体" w:cs="Calibri"/>
                <w:color w:val="000000"/>
                <w:sz w:val="20"/>
                <w:lang w:val="en-US" w:eastAsia="zh-CN"/>
              </w:rPr>
              <w:t xml:space="preserve"> </w:t>
            </w:r>
            <w:r>
              <w:rPr>
                <w:rFonts w:ascii="Calibri" w:hAnsi="Calibri" w:eastAsia="Calibri" w:cs="Calibri"/>
                <w:color w:val="000000"/>
                <w:sz w:val="20"/>
              </w:rPr>
              <w:t>Life</w:t>
            </w:r>
          </w:p>
        </w:tc>
        <w:tc>
          <w:tcPr>
            <w:tcW w:w="6037" w:type="dxa"/>
            <w:tcMar>
              <w:top w:w="0" w:type="dxa"/>
              <w:left w:w="0" w:type="dxa"/>
              <w:bottom w:w="0" w:type="dxa"/>
              <w:right w:w="0" w:type="dxa"/>
            </w:tcMar>
            <w:vAlign w:val="center"/>
          </w:tcPr>
          <w:p w14:paraId="35D8BB54">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3 months when stored in a cool, dry place with unopened packaging.</w:t>
            </w:r>
          </w:p>
        </w:tc>
      </w:tr>
      <w:tr w14:paraId="5565745C">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83" w:hRule="atLeast"/>
          <w:jc w:val="center"/>
        </w:trPr>
        <w:tc>
          <w:tcPr>
            <w:tcW w:w="2622" w:type="dxa"/>
            <w:tcMar>
              <w:top w:w="0" w:type="dxa"/>
              <w:left w:w="0" w:type="dxa"/>
              <w:bottom w:w="0" w:type="dxa"/>
              <w:right w:w="0" w:type="dxa"/>
            </w:tcMar>
            <w:vAlign w:val="center"/>
          </w:tcPr>
          <w:p w14:paraId="04DF1E04">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Executive Standard</w:t>
            </w:r>
          </w:p>
        </w:tc>
        <w:tc>
          <w:tcPr>
            <w:tcW w:w="6037" w:type="dxa"/>
            <w:tcMar>
              <w:top w:w="0" w:type="dxa"/>
              <w:left w:w="0" w:type="dxa"/>
              <w:bottom w:w="0" w:type="dxa"/>
              <w:right w:w="0" w:type="dxa"/>
            </w:tcMar>
            <w:vAlign w:val="center"/>
          </w:tcPr>
          <w:p w14:paraId="7E8F2AAF">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GB/T25181-2019 "Premixed Mortar" DS</w:t>
            </w:r>
          </w:p>
        </w:tc>
      </w:tr>
      <w:tr w14:paraId="5C5E1A69">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330" w:hRule="atLeast"/>
          <w:jc w:val="center"/>
        </w:trPr>
        <w:tc>
          <w:tcPr>
            <w:tcW w:w="2622" w:type="dxa"/>
            <w:tcMar>
              <w:top w:w="0" w:type="dxa"/>
              <w:left w:w="0" w:type="dxa"/>
              <w:bottom w:w="0" w:type="dxa"/>
              <w:right w:w="0" w:type="dxa"/>
            </w:tcMar>
            <w:vAlign w:val="center"/>
          </w:tcPr>
          <w:p w14:paraId="302DBFC5">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Workable Time</w:t>
            </w:r>
          </w:p>
        </w:tc>
        <w:tc>
          <w:tcPr>
            <w:tcW w:w="6037" w:type="dxa"/>
            <w:tcMar>
              <w:top w:w="0" w:type="dxa"/>
              <w:left w:w="0" w:type="dxa"/>
              <w:bottom w:w="0" w:type="dxa"/>
              <w:right w:w="0" w:type="dxa"/>
            </w:tcMar>
            <w:vAlign w:val="center"/>
          </w:tcPr>
          <w:p w14:paraId="6622B3F1">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2h</w:t>
            </w:r>
          </w:p>
        </w:tc>
      </w:tr>
      <w:tr w14:paraId="40AA7F63">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645" w:hRule="atLeast"/>
          <w:jc w:val="center"/>
        </w:trPr>
        <w:tc>
          <w:tcPr>
            <w:tcW w:w="2622" w:type="dxa"/>
            <w:tcMar>
              <w:top w:w="0" w:type="dxa"/>
              <w:left w:w="0" w:type="dxa"/>
              <w:bottom w:w="0" w:type="dxa"/>
              <w:right w:w="0" w:type="dxa"/>
            </w:tcMar>
            <w:vAlign w:val="center"/>
          </w:tcPr>
          <w:p w14:paraId="212823A2">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Construction Consumption</w:t>
            </w:r>
          </w:p>
        </w:tc>
        <w:tc>
          <w:tcPr>
            <w:tcW w:w="6037" w:type="dxa"/>
            <w:tcMar>
              <w:top w:w="0" w:type="dxa"/>
              <w:left w:w="0" w:type="dxa"/>
              <w:bottom w:w="0" w:type="dxa"/>
              <w:right w:w="0" w:type="dxa"/>
            </w:tcMar>
            <w:vAlign w:val="center"/>
          </w:tcPr>
          <w:p w14:paraId="1BEBD080">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1.7-2.0kg/m²/mm, depending on surface conditions and application methods</w:t>
            </w:r>
          </w:p>
        </w:tc>
      </w:tr>
      <w:tr w14:paraId="39F6D9C7">
        <w:tblPrEx>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108" w:type="dxa"/>
            <w:bottom w:w="0" w:type="dxa"/>
            <w:right w:w="108" w:type="dxa"/>
          </w:tblCellMar>
        </w:tblPrEx>
        <w:trPr>
          <w:trHeight w:val="660" w:hRule="atLeast"/>
          <w:jc w:val="center"/>
        </w:trPr>
        <w:tc>
          <w:tcPr>
            <w:tcW w:w="2622" w:type="dxa"/>
            <w:tcMar>
              <w:top w:w="0" w:type="dxa"/>
              <w:left w:w="0" w:type="dxa"/>
              <w:bottom w:w="0" w:type="dxa"/>
              <w:right w:w="0" w:type="dxa"/>
            </w:tcMar>
            <w:vAlign w:val="center"/>
          </w:tcPr>
          <w:p w14:paraId="67E5DE57">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Application Environment</w:t>
            </w:r>
          </w:p>
        </w:tc>
        <w:tc>
          <w:tcPr>
            <w:tcW w:w="6037" w:type="dxa"/>
            <w:tcMar>
              <w:top w:w="0" w:type="dxa"/>
              <w:left w:w="0" w:type="dxa"/>
              <w:bottom w:w="0" w:type="dxa"/>
              <w:right w:w="0" w:type="dxa"/>
            </w:tcMar>
            <w:vAlign w:val="center"/>
          </w:tcPr>
          <w:p w14:paraId="788FA697">
            <w:pPr>
              <w:snapToGrid/>
              <w:spacing w:before="0" w:after="0" w:line="240" w:lineRule="auto"/>
              <w:ind w:left="21" w:leftChars="10" w:right="21" w:rightChars="10"/>
              <w:jc w:val="center"/>
              <w:rPr>
                <w:rFonts w:ascii="Calibri" w:hAnsi="Calibri" w:eastAsia="Calibri" w:cs="Calibri"/>
                <w:color w:val="000000"/>
                <w:sz w:val="20"/>
              </w:rPr>
            </w:pPr>
            <w:r>
              <w:rPr>
                <w:rFonts w:ascii="Calibri" w:hAnsi="Calibri" w:eastAsia="Calibri" w:cs="Calibri"/>
                <w:color w:val="000000"/>
                <w:sz w:val="20"/>
              </w:rPr>
              <w:t xml:space="preserve">5-35°C, avoid high temperatures, frost, direct sunlight, wind, or rain during outdoor construction  </w:t>
            </w:r>
          </w:p>
        </w:tc>
      </w:tr>
    </w:tbl>
    <w:p w14:paraId="4E0D88ED">
      <w:pPr>
        <w:snapToGrid/>
        <w:spacing w:line="240" w:lineRule="auto"/>
        <w:rPr>
          <w:rFonts w:hint="eastAsia"/>
        </w:rPr>
      </w:pPr>
    </w:p>
    <w:p w14:paraId="784AB992">
      <w:pPr>
        <w:snapToGrid/>
        <w:spacing w:line="240" w:lineRule="auto"/>
        <w:rPr>
          <w:rFonts w:hint="eastAsia"/>
        </w:rPr>
      </w:pPr>
      <w:r>
        <w:rPr>
          <w:rFonts w:ascii="Calibri" w:hAnsi="Calibri" w:eastAsia="Calibri" w:cs="Calibri"/>
          <w:b/>
          <w:color w:val="000000"/>
        </w:rPr>
        <w:t>TRANSPORT AND STORAGE</w:t>
      </w:r>
    </w:p>
    <w:p w14:paraId="65BE0F32">
      <w:pPr>
        <w:numPr>
          <w:ilvl w:val="0"/>
          <w:numId w:val="3"/>
        </w:numPr>
        <w:snapToGrid/>
        <w:spacing w:line="240" w:lineRule="auto"/>
        <w:rPr>
          <w:rFonts w:ascii="Calibri" w:hAnsi="Calibri" w:eastAsia="Calibri" w:cs="Calibri"/>
          <w:color w:val="000000"/>
          <w:sz w:val="20"/>
        </w:rPr>
      </w:pPr>
      <w:r>
        <w:rPr>
          <w:rFonts w:ascii="Calibri" w:hAnsi="Calibri" w:eastAsia="Calibri" w:cs="Calibri"/>
          <w:color w:val="000000"/>
          <w:sz w:val="20"/>
        </w:rPr>
        <w:t>For storage and transportation, avoid exposure to rain and physical impact to prevent damage to the packaging.</w:t>
      </w:r>
    </w:p>
    <w:p w14:paraId="4759E66D">
      <w:pPr>
        <w:numPr>
          <w:ilvl w:val="0"/>
          <w:numId w:val="3"/>
        </w:numPr>
        <w:snapToGrid/>
        <w:spacing w:line="240" w:lineRule="auto"/>
        <w:rPr>
          <w:rFonts w:ascii="Calibri" w:hAnsi="Calibri" w:eastAsia="Calibri" w:cs="Calibri"/>
          <w:color w:val="000000"/>
          <w:sz w:val="20"/>
        </w:rPr>
      </w:pPr>
      <w:r>
        <w:rPr>
          <w:rFonts w:ascii="Calibri" w:hAnsi="Calibri" w:eastAsia="Calibri" w:cs="Calibri"/>
          <w:color w:val="000000"/>
          <w:sz w:val="20"/>
        </w:rPr>
        <w:t>Store in a cool, dry warehouse to prevent moisture exposure and avoid contact with water.</w:t>
      </w:r>
    </w:p>
    <w:p w14:paraId="5EE9C7B3">
      <w:pPr>
        <w:numPr>
          <w:ilvl w:val="0"/>
          <w:numId w:val="3"/>
        </w:numPr>
        <w:snapToGrid/>
        <w:spacing w:line="240" w:lineRule="auto"/>
        <w:rPr>
          <w:rFonts w:ascii="Calibri" w:hAnsi="Calibri" w:eastAsia="Calibri" w:cs="Calibri"/>
          <w:color w:val="000000"/>
          <w:sz w:val="20"/>
        </w:rPr>
      </w:pPr>
      <w:r>
        <w:rPr>
          <w:rFonts w:ascii="Calibri" w:hAnsi="Calibri" w:eastAsia="Calibri" w:cs="Calibri"/>
          <w:color w:val="000000"/>
          <w:sz w:val="20"/>
        </w:rPr>
        <w:t>Under normal transport and storage conditions, the unopened product has a shelf life of 3 months.</w:t>
      </w:r>
    </w:p>
    <w:p w14:paraId="499F11A4">
      <w:pPr>
        <w:spacing w:line="240" w:lineRule="auto"/>
        <w:ind w:right="21" w:rightChars="10"/>
        <w:jc w:val="both"/>
        <w:rPr>
          <w:rFonts w:ascii="Calibri" w:hAnsi="Calibri" w:eastAsia="Calibri" w:cs="Calibri"/>
          <w:b/>
          <w:color w:val="000000"/>
        </w:rPr>
      </w:pPr>
    </w:p>
    <w:p w14:paraId="7674A4D4">
      <w:pPr>
        <w:spacing w:line="240" w:lineRule="auto"/>
        <w:ind w:right="21" w:rightChars="10"/>
        <w:jc w:val="both"/>
        <w:rPr>
          <w:rFonts w:ascii="Calibri" w:hAnsi="Calibri" w:eastAsia="Calibri" w:cs="Calibri"/>
          <w:b/>
          <w:color w:val="000000"/>
        </w:rPr>
      </w:pPr>
      <w:r>
        <w:rPr>
          <w:rFonts w:ascii="Calibri" w:hAnsi="Calibri" w:eastAsia="Calibri" w:cs="Calibri"/>
          <w:b/>
          <w:color w:val="000000"/>
        </w:rPr>
        <w:t>CAUTIONS</w:t>
      </w:r>
    </w:p>
    <w:p w14:paraId="73E45A90">
      <w:pPr>
        <w:numPr>
          <w:ilvl w:val="0"/>
          <w:numId w:val="4"/>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Avoid temperatures below 5°C and above 35°C during application.  </w:t>
      </w:r>
    </w:p>
    <w:p w14:paraId="1A7348C4">
      <w:pPr>
        <w:numPr>
          <w:ilvl w:val="0"/>
          <w:numId w:val="4"/>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Store and transport the product to prevent exposure to rain and moisture. Do not use if the product has clumped due to moisture.  </w:t>
      </w:r>
    </w:p>
    <w:p w14:paraId="53BB43D2">
      <w:pPr>
        <w:numPr>
          <w:ilvl w:val="0"/>
          <w:numId w:val="4"/>
        </w:numPr>
        <w:snapToGrid/>
        <w:spacing w:line="240" w:lineRule="auto"/>
        <w:rPr>
          <w:rFonts w:ascii="Calibri" w:hAnsi="Calibri" w:eastAsia="Calibri" w:cs="Calibri"/>
          <w:color w:val="000000"/>
          <w:sz w:val="20"/>
        </w:rPr>
      </w:pPr>
      <w:r>
        <w:rPr>
          <w:rFonts w:ascii="Calibri" w:hAnsi="Calibri" w:eastAsia="Calibri" w:cs="Calibri"/>
          <w:color w:val="000000"/>
          <w:sz w:val="20"/>
        </w:rPr>
        <w:t xml:space="preserve">Do not mix with other products.  </w:t>
      </w:r>
    </w:p>
    <w:p w14:paraId="5225A71B">
      <w:pPr>
        <w:numPr>
          <w:ilvl w:val="0"/>
          <w:numId w:val="4"/>
        </w:numPr>
        <w:snapToGrid/>
        <w:spacing w:line="240" w:lineRule="auto"/>
        <w:rPr>
          <w:rFonts w:ascii="Calibri" w:hAnsi="Calibri" w:eastAsia="Calibri" w:cs="Calibri"/>
          <w:color w:val="000000"/>
          <w:sz w:val="20"/>
        </w:rPr>
      </w:pPr>
      <w:r>
        <w:rPr>
          <w:rFonts w:ascii="Calibri" w:hAnsi="Calibri" w:eastAsia="Calibri" w:cs="Calibri"/>
          <w:color w:val="000000"/>
          <w:sz w:val="20"/>
        </w:rPr>
        <w:t>Adjust the water addition according to the application method, and use the mixed mortar within 2 hours. Do not add water to hardened mortar.</w:t>
      </w:r>
    </w:p>
    <w:p w14:paraId="09888C28">
      <w:pPr>
        <w:snapToGrid/>
        <w:spacing w:line="240" w:lineRule="auto"/>
        <w:rPr>
          <w:rFonts w:ascii="Calibri" w:hAnsi="Calibri" w:eastAsia="Calibri" w:cs="Calibri"/>
          <w:b/>
          <w:color w:val="000000"/>
        </w:rPr>
      </w:pPr>
    </w:p>
    <w:p w14:paraId="567589BC">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SAFETY INSTRUCTIONS</w:t>
      </w:r>
    </w:p>
    <w:p w14:paraId="7631DBC4">
      <w:pPr>
        <w:snapToGrid/>
        <w:spacing w:line="240" w:lineRule="auto"/>
        <w:ind w:left="22"/>
        <w:rPr>
          <w:rFonts w:hint="eastAsia"/>
        </w:rPr>
      </w:pPr>
      <w:r>
        <w:rPr>
          <w:rFonts w:ascii="Calibri" w:hAnsi="Calibri" w:eastAsia="Calibri" w:cs="Calibri"/>
          <w:color w:val="000000"/>
          <w:sz w:val="20"/>
        </w:rPr>
        <w:t>This product contains alkaline components, which may cause irritation to the eyes and skin. Wear protective gear during application. In case of eye contact, rinse immediately with water and seek medical attention.</w:t>
      </w:r>
    </w:p>
    <w:p w14:paraId="71C8F2AC">
      <w:pPr>
        <w:spacing w:line="240" w:lineRule="auto"/>
        <w:ind w:left="44" w:right="21" w:rightChars="10"/>
        <w:jc w:val="both"/>
        <w:rPr>
          <w:rFonts w:ascii="Calibri" w:hAnsi="Calibri" w:eastAsia="Calibri" w:cs="Calibri"/>
          <w:b/>
          <w:color w:val="000000"/>
        </w:rPr>
      </w:pPr>
    </w:p>
    <w:p w14:paraId="4512B615">
      <w:pPr>
        <w:snapToGrid/>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REMINDER</w:t>
      </w:r>
    </w:p>
    <w:p w14:paraId="79E0185F">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The stretch wrap and bottom wooden pallet provided at the factory will better protect the product from water, dust, and moisture, as well as protect the packaging. Please do not damage them before use! (Stretch wrap and wooden pallets are not provided for small quantities).</w:t>
      </w:r>
    </w:p>
    <w:p w14:paraId="2513DF10">
      <w:pPr>
        <w:snapToGrid/>
        <w:spacing w:line="240" w:lineRule="auto"/>
        <w:ind w:left="44" w:right="21" w:rightChars="10"/>
        <w:jc w:val="both"/>
        <w:rPr>
          <w:rFonts w:ascii="Calibri" w:hAnsi="Calibri" w:eastAsia="Calibri" w:cs="Calibri"/>
          <w:color w:val="000000"/>
          <w:sz w:val="20"/>
        </w:rPr>
      </w:pPr>
    </w:p>
    <w:p w14:paraId="066127AE">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WARNING</w:t>
      </w:r>
    </w:p>
    <w:p w14:paraId="583C00E5">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The technical information and recommendations presented in this report are founded on our utmost knowledge and expertise. However, it's important to recognize that all the aforementioned details serve as guidance and should be validated through extensive real-world application. As such, individuals intending to utilize the product must conduct thorough assessments of its compatibility with the specific intended use. It is paramount to emphasize that the user assumes sole accountability for any ramifications arising from the product's utilization.</w:t>
      </w:r>
    </w:p>
    <w:p w14:paraId="10FB445C">
      <w:pPr>
        <w:snapToGrid/>
        <w:spacing w:line="240" w:lineRule="auto"/>
        <w:ind w:left="44" w:right="21" w:rightChars="10"/>
        <w:jc w:val="both"/>
        <w:rPr>
          <w:rFonts w:ascii="Calibri" w:hAnsi="Calibri" w:eastAsia="Calibri" w:cs="Calibri"/>
          <w:color w:val="000000"/>
          <w:sz w:val="20"/>
        </w:rPr>
      </w:pPr>
    </w:p>
    <w:p w14:paraId="127A37DE">
      <w:pPr>
        <w:spacing w:line="240" w:lineRule="auto"/>
        <w:ind w:left="44" w:right="21" w:rightChars="10"/>
        <w:jc w:val="both"/>
        <w:rPr>
          <w:rFonts w:ascii="Calibri" w:hAnsi="Calibri" w:eastAsia="Calibri" w:cs="Calibri"/>
          <w:b/>
          <w:color w:val="000000"/>
        </w:rPr>
      </w:pPr>
      <w:r>
        <w:rPr>
          <w:rFonts w:ascii="Calibri" w:hAnsi="Calibri" w:eastAsia="Calibri" w:cs="Calibri"/>
          <w:b/>
          <w:color w:val="000000"/>
        </w:rPr>
        <w:t>LEGAL NOTICE</w:t>
      </w:r>
    </w:p>
    <w:p w14:paraId="75BE0D32">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 xml:space="preserve">The information within this Technical Data Sheet ("TDS") can be transferred to another document relevant to the project. However, the resulting document must not supersede or substitute the requirements specified in the current TDS during the installation of VASA products. The latest version of the TDS is available for download from our website www.vasa.top. </w:t>
      </w:r>
    </w:p>
    <w:p w14:paraId="170D374B">
      <w:pPr>
        <w:snapToGrid/>
        <w:spacing w:line="240" w:lineRule="auto"/>
        <w:ind w:left="44" w:right="21" w:rightChars="10"/>
        <w:jc w:val="both"/>
        <w:rPr>
          <w:rFonts w:ascii="Calibri" w:hAnsi="Calibri" w:eastAsia="Calibri" w:cs="Calibri"/>
          <w:color w:val="000000"/>
          <w:sz w:val="20"/>
        </w:rPr>
      </w:pPr>
    </w:p>
    <w:p w14:paraId="710F0319">
      <w:pPr>
        <w:snapToGrid/>
        <w:spacing w:line="240" w:lineRule="auto"/>
        <w:ind w:left="44" w:right="21" w:rightChars="10"/>
        <w:jc w:val="both"/>
        <w:rPr>
          <w:rFonts w:ascii="Calibri" w:hAnsi="Calibri" w:eastAsia="Calibri" w:cs="Calibri"/>
          <w:color w:val="000000"/>
          <w:sz w:val="20"/>
        </w:rPr>
      </w:pPr>
      <w:r>
        <w:rPr>
          <w:rFonts w:ascii="Calibri" w:hAnsi="Calibri" w:eastAsia="Calibri" w:cs="Calibri"/>
          <w:color w:val="000000"/>
          <w:sz w:val="20"/>
        </w:rPr>
        <w:t xml:space="preserve">ANY MODIFICATION TO THE TEXT OR REQUIREMENTS INCLUDED OR DERIVED FROM THIS TDS RELEASES VASA FROM LIABILITY. </w:t>
      </w:r>
    </w:p>
    <w:p w14:paraId="5BEA649F">
      <w:pPr>
        <w:rPr>
          <w:rFonts w:hint="eastAsia"/>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B3198">
    <w:pPr>
      <w:pStyle w:val="3"/>
      <w:rPr>
        <w:rFonts w:hint="eastAsia"/>
      </w:rPr>
    </w:pPr>
    <w:r>
      <w:drawing>
        <wp:inline distT="0" distB="0" distL="114300" distR="114300">
          <wp:extent cx="1955800" cy="510540"/>
          <wp:effectExtent l="0" t="0" r="0" b="1016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
                  <a:srcRect l="2644" t="14812" r="4808" b="14724"/>
                  <a:stretch>
                    <a:fillRect/>
                  </a:stretch>
                </pic:blipFill>
                <pic:spPr>
                  <a:xfrm>
                    <a:off x="0" y="0"/>
                    <a:ext cx="1955800" cy="51054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F0E61">
    <w:pPr>
      <w:pStyle w:val="3"/>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DB81F">
    <w:pPr>
      <w:pStyle w:val="3"/>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29470">
    <w:pPr>
      <w:pStyle w:val="4"/>
      <w:jc w:val="right"/>
      <w:rPr>
        <w:rFonts w:hint="eastAsia"/>
      </w:rPr>
    </w:pPr>
    <w:r>
      <w:rPr>
        <w:rFonts w:hint="eastAsia"/>
      </w:rPr>
      <w:t xml:space="preserve">  </w:t>
    </w:r>
    <w:r>
      <w:drawing>
        <wp:inline distT="0" distB="0" distL="0" distR="0">
          <wp:extent cx="1469390" cy="371475"/>
          <wp:effectExtent l="0" t="0" r="0" b="0"/>
          <wp:docPr id="8503277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2771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01088" cy="379457"/>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605FD">
    <w:pPr>
      <w:pStyle w:val="4"/>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2F260">
    <w:pPr>
      <w:pStyle w:val="4"/>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817EAA"/>
    <w:multiLevelType w:val="multilevel"/>
    <w:tmpl w:val="30817EAA"/>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776" w:hanging="336"/>
      </w:pPr>
      <w:rPr>
        <w:rFonts w:hint="default" w:ascii="Wingdings" w:hAnsi="Wingdings" w:eastAsia="Wingdings" w:cs="Wingdings"/>
      </w:rPr>
    </w:lvl>
    <w:lvl w:ilvl="2" w:tentative="0">
      <w:start w:val="1"/>
      <w:numFmt w:val="bullet"/>
      <w:lvlText w:val=""/>
      <w:lvlJc w:val="left"/>
      <w:pPr>
        <w:ind w:left="1216" w:hanging="336"/>
      </w:pPr>
      <w:rPr>
        <w:rFonts w:hint="default" w:ascii="Wingdings" w:hAnsi="Wingdings" w:eastAsia="Wingdings" w:cs="Wingdings"/>
      </w:rPr>
    </w:lvl>
    <w:lvl w:ilvl="3" w:tentative="0">
      <w:start w:val="1"/>
      <w:numFmt w:val="bullet"/>
      <w:lvlText w:val=""/>
      <w:lvlJc w:val="left"/>
      <w:pPr>
        <w:ind w:left="1656" w:hanging="336"/>
      </w:pPr>
      <w:rPr>
        <w:rFonts w:hint="default" w:ascii="Wingdings" w:hAnsi="Wingdings" w:eastAsia="Wingdings" w:cs="Wingdings"/>
      </w:rPr>
    </w:lvl>
    <w:lvl w:ilvl="4" w:tentative="0">
      <w:start w:val="1"/>
      <w:numFmt w:val="bullet"/>
      <w:lvlText w:val="¡"/>
      <w:lvlJc w:val="left"/>
      <w:pPr>
        <w:ind w:left="2096" w:hanging="336"/>
      </w:pPr>
      <w:rPr>
        <w:rFonts w:hint="default" w:ascii="Wingdings" w:hAnsi="Wingdings" w:eastAsia="Wingdings" w:cs="Wingdings"/>
      </w:rPr>
    </w:lvl>
    <w:lvl w:ilvl="5" w:tentative="0">
      <w:start w:val="1"/>
      <w:numFmt w:val="bullet"/>
      <w:lvlText w:val=""/>
      <w:lvlJc w:val="left"/>
      <w:pPr>
        <w:ind w:left="2536" w:hanging="336"/>
      </w:pPr>
      <w:rPr>
        <w:rFonts w:hint="default" w:ascii="Wingdings" w:hAnsi="Wingdings" w:eastAsia="Wingdings" w:cs="Wingdings"/>
      </w:rPr>
    </w:lvl>
    <w:lvl w:ilvl="6" w:tentative="0">
      <w:start w:val="1"/>
      <w:numFmt w:val="bullet"/>
      <w:lvlText w:val=""/>
      <w:lvlJc w:val="left"/>
      <w:pPr>
        <w:ind w:left="2976" w:hanging="336"/>
      </w:pPr>
      <w:rPr>
        <w:rFonts w:hint="default" w:ascii="Wingdings" w:hAnsi="Wingdings" w:eastAsia="Wingdings" w:cs="Wingdings"/>
      </w:rPr>
    </w:lvl>
    <w:lvl w:ilvl="7" w:tentative="0">
      <w:start w:val="1"/>
      <w:numFmt w:val="bullet"/>
      <w:lvlText w:val="¡"/>
      <w:lvlJc w:val="left"/>
      <w:pPr>
        <w:ind w:left="3416" w:hanging="336"/>
      </w:pPr>
      <w:rPr>
        <w:rFonts w:hint="default" w:ascii="Wingdings" w:hAnsi="Wingdings" w:eastAsia="Wingdings" w:cs="Wingdings"/>
      </w:rPr>
    </w:lvl>
    <w:lvl w:ilvl="8" w:tentative="0">
      <w:start w:val="1"/>
      <w:numFmt w:val="bullet"/>
      <w:lvlText w:val=""/>
      <w:lvlJc w:val="left"/>
      <w:pPr>
        <w:ind w:left="3856" w:hanging="336"/>
      </w:pPr>
      <w:rPr>
        <w:rFonts w:hint="default" w:ascii="Wingdings" w:hAnsi="Wingdings" w:eastAsia="Wingdings" w:cs="Wingdings"/>
      </w:rPr>
    </w:lvl>
  </w:abstractNum>
  <w:abstractNum w:abstractNumId="1">
    <w:nsid w:val="3F252783"/>
    <w:multiLevelType w:val="multilevel"/>
    <w:tmpl w:val="3F252783"/>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776" w:hanging="336"/>
      </w:pPr>
      <w:rPr>
        <w:rFonts w:hint="default" w:ascii="Wingdings" w:hAnsi="Wingdings" w:eastAsia="Wingdings" w:cs="Wingdings"/>
      </w:rPr>
    </w:lvl>
    <w:lvl w:ilvl="2" w:tentative="0">
      <w:start w:val="1"/>
      <w:numFmt w:val="bullet"/>
      <w:lvlText w:val=""/>
      <w:lvlJc w:val="left"/>
      <w:pPr>
        <w:ind w:left="1216" w:hanging="336"/>
      </w:pPr>
      <w:rPr>
        <w:rFonts w:hint="default" w:ascii="Wingdings" w:hAnsi="Wingdings" w:eastAsia="Wingdings" w:cs="Wingdings"/>
      </w:rPr>
    </w:lvl>
    <w:lvl w:ilvl="3" w:tentative="0">
      <w:start w:val="1"/>
      <w:numFmt w:val="bullet"/>
      <w:lvlText w:val=""/>
      <w:lvlJc w:val="left"/>
      <w:pPr>
        <w:ind w:left="1656" w:hanging="336"/>
      </w:pPr>
      <w:rPr>
        <w:rFonts w:hint="default" w:ascii="Wingdings" w:hAnsi="Wingdings" w:eastAsia="Wingdings" w:cs="Wingdings"/>
      </w:rPr>
    </w:lvl>
    <w:lvl w:ilvl="4" w:tentative="0">
      <w:start w:val="1"/>
      <w:numFmt w:val="bullet"/>
      <w:lvlText w:val="¡"/>
      <w:lvlJc w:val="left"/>
      <w:pPr>
        <w:ind w:left="2096" w:hanging="336"/>
      </w:pPr>
      <w:rPr>
        <w:rFonts w:hint="default" w:ascii="Wingdings" w:hAnsi="Wingdings" w:eastAsia="Wingdings" w:cs="Wingdings"/>
      </w:rPr>
    </w:lvl>
    <w:lvl w:ilvl="5" w:tentative="0">
      <w:start w:val="1"/>
      <w:numFmt w:val="bullet"/>
      <w:lvlText w:val=""/>
      <w:lvlJc w:val="left"/>
      <w:pPr>
        <w:ind w:left="2536" w:hanging="336"/>
      </w:pPr>
      <w:rPr>
        <w:rFonts w:hint="default" w:ascii="Wingdings" w:hAnsi="Wingdings" w:eastAsia="Wingdings" w:cs="Wingdings"/>
      </w:rPr>
    </w:lvl>
    <w:lvl w:ilvl="6" w:tentative="0">
      <w:start w:val="1"/>
      <w:numFmt w:val="bullet"/>
      <w:lvlText w:val=""/>
      <w:lvlJc w:val="left"/>
      <w:pPr>
        <w:ind w:left="2976" w:hanging="336"/>
      </w:pPr>
      <w:rPr>
        <w:rFonts w:hint="default" w:ascii="Wingdings" w:hAnsi="Wingdings" w:eastAsia="Wingdings" w:cs="Wingdings"/>
      </w:rPr>
    </w:lvl>
    <w:lvl w:ilvl="7" w:tentative="0">
      <w:start w:val="1"/>
      <w:numFmt w:val="bullet"/>
      <w:lvlText w:val="¡"/>
      <w:lvlJc w:val="left"/>
      <w:pPr>
        <w:ind w:left="3416" w:hanging="336"/>
      </w:pPr>
      <w:rPr>
        <w:rFonts w:hint="default" w:ascii="Wingdings" w:hAnsi="Wingdings" w:eastAsia="Wingdings" w:cs="Wingdings"/>
      </w:rPr>
    </w:lvl>
    <w:lvl w:ilvl="8" w:tentative="0">
      <w:start w:val="1"/>
      <w:numFmt w:val="bullet"/>
      <w:lvlText w:val=""/>
      <w:lvlJc w:val="left"/>
      <w:pPr>
        <w:ind w:left="3856" w:hanging="336"/>
      </w:pPr>
      <w:rPr>
        <w:rFonts w:hint="default" w:ascii="Wingdings" w:hAnsi="Wingdings" w:eastAsia="Wingdings" w:cs="Wingdings"/>
      </w:rPr>
    </w:lvl>
  </w:abstractNum>
  <w:abstractNum w:abstractNumId="2">
    <w:nsid w:val="448B545C"/>
    <w:multiLevelType w:val="multilevel"/>
    <w:tmpl w:val="448B545C"/>
    <w:lvl w:ilvl="0" w:tentative="0">
      <w:start w:val="1"/>
      <w:numFmt w:val="bullet"/>
      <w:lvlText w:val=""/>
      <w:lvlJc w:val="left"/>
      <w:pPr>
        <w:ind w:left="380" w:hanging="336"/>
      </w:pPr>
      <w:rPr>
        <w:rFonts w:hint="default" w:ascii="Wingdings" w:hAnsi="Wingdings" w:eastAsia="Wingdings" w:cs="Wingdings"/>
      </w:rPr>
    </w:lvl>
    <w:lvl w:ilvl="1" w:tentative="0">
      <w:start w:val="1"/>
      <w:numFmt w:val="bullet"/>
      <w:lvlText w:val="¡"/>
      <w:lvlJc w:val="left"/>
      <w:pPr>
        <w:ind w:left="820" w:hanging="336"/>
      </w:pPr>
      <w:rPr>
        <w:rFonts w:hint="default" w:ascii="Wingdings" w:hAnsi="Wingdings" w:eastAsia="Wingdings" w:cs="Wingdings"/>
      </w:rPr>
    </w:lvl>
    <w:lvl w:ilvl="2" w:tentative="0">
      <w:start w:val="1"/>
      <w:numFmt w:val="bullet"/>
      <w:lvlText w:val=""/>
      <w:lvlJc w:val="left"/>
      <w:pPr>
        <w:ind w:left="1260" w:hanging="336"/>
      </w:pPr>
      <w:rPr>
        <w:rFonts w:hint="default" w:ascii="Wingdings" w:hAnsi="Wingdings" w:eastAsia="Wingdings" w:cs="Wingdings"/>
      </w:rPr>
    </w:lvl>
    <w:lvl w:ilvl="3" w:tentative="0">
      <w:start w:val="1"/>
      <w:numFmt w:val="bullet"/>
      <w:lvlText w:val=""/>
      <w:lvlJc w:val="left"/>
      <w:pPr>
        <w:ind w:left="1700" w:hanging="336"/>
      </w:pPr>
      <w:rPr>
        <w:rFonts w:hint="default" w:ascii="Wingdings" w:hAnsi="Wingdings" w:eastAsia="Wingdings" w:cs="Wingdings"/>
      </w:rPr>
    </w:lvl>
    <w:lvl w:ilvl="4" w:tentative="0">
      <w:start w:val="1"/>
      <w:numFmt w:val="bullet"/>
      <w:lvlText w:val="¡"/>
      <w:lvlJc w:val="left"/>
      <w:pPr>
        <w:ind w:left="2140" w:hanging="336"/>
      </w:pPr>
      <w:rPr>
        <w:rFonts w:hint="default" w:ascii="Wingdings" w:hAnsi="Wingdings" w:eastAsia="Wingdings" w:cs="Wingdings"/>
      </w:rPr>
    </w:lvl>
    <w:lvl w:ilvl="5" w:tentative="0">
      <w:start w:val="1"/>
      <w:numFmt w:val="bullet"/>
      <w:lvlText w:val=""/>
      <w:lvlJc w:val="left"/>
      <w:pPr>
        <w:ind w:left="2580" w:hanging="336"/>
      </w:pPr>
      <w:rPr>
        <w:rFonts w:hint="default" w:ascii="Wingdings" w:hAnsi="Wingdings" w:eastAsia="Wingdings" w:cs="Wingdings"/>
      </w:rPr>
    </w:lvl>
    <w:lvl w:ilvl="6" w:tentative="0">
      <w:start w:val="1"/>
      <w:numFmt w:val="bullet"/>
      <w:lvlText w:val=""/>
      <w:lvlJc w:val="left"/>
      <w:pPr>
        <w:ind w:left="3020" w:hanging="336"/>
      </w:pPr>
      <w:rPr>
        <w:rFonts w:hint="default" w:ascii="Wingdings" w:hAnsi="Wingdings" w:eastAsia="Wingdings" w:cs="Wingdings"/>
      </w:rPr>
    </w:lvl>
    <w:lvl w:ilvl="7" w:tentative="0">
      <w:start w:val="1"/>
      <w:numFmt w:val="bullet"/>
      <w:lvlText w:val="¡"/>
      <w:lvlJc w:val="left"/>
      <w:pPr>
        <w:ind w:left="3460" w:hanging="336"/>
      </w:pPr>
      <w:rPr>
        <w:rFonts w:hint="default" w:ascii="Wingdings" w:hAnsi="Wingdings" w:eastAsia="Wingdings" w:cs="Wingdings"/>
      </w:rPr>
    </w:lvl>
    <w:lvl w:ilvl="8" w:tentative="0">
      <w:start w:val="1"/>
      <w:numFmt w:val="bullet"/>
      <w:lvlText w:val=""/>
      <w:lvlJc w:val="left"/>
      <w:pPr>
        <w:ind w:left="3900" w:hanging="336"/>
      </w:pPr>
      <w:rPr>
        <w:rFonts w:hint="default" w:ascii="Wingdings" w:hAnsi="Wingdings" w:eastAsia="Wingdings" w:cs="Wingdings"/>
      </w:rPr>
    </w:lvl>
  </w:abstractNum>
  <w:abstractNum w:abstractNumId="3">
    <w:nsid w:val="51EC1FFC"/>
    <w:multiLevelType w:val="multilevel"/>
    <w:tmpl w:val="51EC1FFC"/>
    <w:lvl w:ilvl="0" w:tentative="0">
      <w:start w:val="1"/>
      <w:numFmt w:val="bullet"/>
      <w:lvlText w:val=""/>
      <w:lvlJc w:val="left"/>
      <w:pPr>
        <w:ind w:left="336" w:hanging="336"/>
      </w:pPr>
      <w:rPr>
        <w:rFonts w:hint="default" w:ascii="Wingdings" w:hAnsi="Wingdings" w:eastAsia="Wingdings" w:cs="Wingdings"/>
      </w:rPr>
    </w:lvl>
    <w:lvl w:ilvl="1" w:tentative="0">
      <w:start w:val="1"/>
      <w:numFmt w:val="bullet"/>
      <w:lvlText w:val="¡"/>
      <w:lvlJc w:val="left"/>
      <w:pPr>
        <w:ind w:left="776" w:hanging="336"/>
      </w:pPr>
      <w:rPr>
        <w:rFonts w:hint="default" w:ascii="Wingdings" w:hAnsi="Wingdings" w:eastAsia="Wingdings" w:cs="Wingdings"/>
      </w:rPr>
    </w:lvl>
    <w:lvl w:ilvl="2" w:tentative="0">
      <w:start w:val="1"/>
      <w:numFmt w:val="bullet"/>
      <w:lvlText w:val=""/>
      <w:lvlJc w:val="left"/>
      <w:pPr>
        <w:ind w:left="1216" w:hanging="336"/>
      </w:pPr>
      <w:rPr>
        <w:rFonts w:hint="default" w:ascii="Wingdings" w:hAnsi="Wingdings" w:eastAsia="Wingdings" w:cs="Wingdings"/>
      </w:rPr>
    </w:lvl>
    <w:lvl w:ilvl="3" w:tentative="0">
      <w:start w:val="1"/>
      <w:numFmt w:val="bullet"/>
      <w:lvlText w:val=""/>
      <w:lvlJc w:val="left"/>
      <w:pPr>
        <w:ind w:left="1656" w:hanging="336"/>
      </w:pPr>
      <w:rPr>
        <w:rFonts w:hint="default" w:ascii="Wingdings" w:hAnsi="Wingdings" w:eastAsia="Wingdings" w:cs="Wingdings"/>
      </w:rPr>
    </w:lvl>
    <w:lvl w:ilvl="4" w:tentative="0">
      <w:start w:val="1"/>
      <w:numFmt w:val="bullet"/>
      <w:lvlText w:val="¡"/>
      <w:lvlJc w:val="left"/>
      <w:pPr>
        <w:ind w:left="2096" w:hanging="336"/>
      </w:pPr>
      <w:rPr>
        <w:rFonts w:hint="default" w:ascii="Wingdings" w:hAnsi="Wingdings" w:eastAsia="Wingdings" w:cs="Wingdings"/>
      </w:rPr>
    </w:lvl>
    <w:lvl w:ilvl="5" w:tentative="0">
      <w:start w:val="1"/>
      <w:numFmt w:val="bullet"/>
      <w:lvlText w:val=""/>
      <w:lvlJc w:val="left"/>
      <w:pPr>
        <w:ind w:left="2536" w:hanging="336"/>
      </w:pPr>
      <w:rPr>
        <w:rFonts w:hint="default" w:ascii="Wingdings" w:hAnsi="Wingdings" w:eastAsia="Wingdings" w:cs="Wingdings"/>
      </w:rPr>
    </w:lvl>
    <w:lvl w:ilvl="6" w:tentative="0">
      <w:start w:val="1"/>
      <w:numFmt w:val="bullet"/>
      <w:lvlText w:val=""/>
      <w:lvlJc w:val="left"/>
      <w:pPr>
        <w:ind w:left="2976" w:hanging="336"/>
      </w:pPr>
      <w:rPr>
        <w:rFonts w:hint="default" w:ascii="Wingdings" w:hAnsi="Wingdings" w:eastAsia="Wingdings" w:cs="Wingdings"/>
      </w:rPr>
    </w:lvl>
    <w:lvl w:ilvl="7" w:tentative="0">
      <w:start w:val="1"/>
      <w:numFmt w:val="bullet"/>
      <w:lvlText w:val="¡"/>
      <w:lvlJc w:val="left"/>
      <w:pPr>
        <w:ind w:left="3416" w:hanging="336"/>
      </w:pPr>
      <w:rPr>
        <w:rFonts w:hint="default" w:ascii="Wingdings" w:hAnsi="Wingdings" w:eastAsia="Wingdings" w:cs="Wingdings"/>
      </w:rPr>
    </w:lvl>
    <w:lvl w:ilvl="8" w:tentative="0">
      <w:start w:val="1"/>
      <w:numFmt w:val="bullet"/>
      <w:lvlText w:val=""/>
      <w:lvlJc w:val="left"/>
      <w:pPr>
        <w:ind w:left="3856" w:hanging="336"/>
      </w:pPr>
      <w:rPr>
        <w:rFonts w:hint="default" w:ascii="Wingdings" w:hAnsi="Wingdings" w:eastAsia="Wingdings" w:cs="Wingding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617"/>
    <w:rsid w:val="003C2129"/>
    <w:rsid w:val="003E1A49"/>
    <w:rsid w:val="004E16A3"/>
    <w:rsid w:val="00670A81"/>
    <w:rsid w:val="008C3617"/>
    <w:rsid w:val="00A03BFB"/>
    <w:rsid w:val="00C12842"/>
    <w:rsid w:val="09067FC9"/>
    <w:rsid w:val="120475CD"/>
    <w:rsid w:val="129D6DB8"/>
    <w:rsid w:val="166B4499"/>
    <w:rsid w:val="209917F2"/>
    <w:rsid w:val="35CE493A"/>
    <w:rsid w:val="3F94459B"/>
    <w:rsid w:val="50814FF6"/>
    <w:rsid w:val="582B08C2"/>
    <w:rsid w:val="691F48EB"/>
    <w:rsid w:val="7AAC37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styleId="2">
    <w:name w:val="heading 4"/>
    <w:basedOn w:val="1"/>
    <w:next w:val="1"/>
    <w:unhideWhenUsed/>
    <w:qFormat/>
    <w:uiPriority w:val="9"/>
    <w:pPr>
      <w:keepNext/>
      <w:keepLines/>
      <w:spacing w:before="0" w:after="0" w:line="408" w:lineRule="auto"/>
      <w:outlineLvl w:val="3"/>
    </w:pPr>
    <w:rPr>
      <w:b/>
      <w:bCs/>
      <w:color w:val="1A1A1A"/>
      <w:sz w:val="24"/>
      <w:szCs w:val="24"/>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tabs>
        <w:tab w:val="center" w:pos="4153"/>
        <w:tab w:val="right" w:pos="8306"/>
      </w:tabs>
      <w:snapToGrid w:val="0"/>
      <w:jc w:val="center"/>
    </w:pPr>
    <w:rPr>
      <w:sz w:val="18"/>
      <w:szCs w:val="18"/>
    </w:rPr>
  </w:style>
  <w:style w:type="table" w:styleId="6">
    <w:name w:val="Table Grid"/>
    <w:basedOn w:val="5"/>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Pr>
    <w:tcPr>
      <w:vAlign w:val="center"/>
    </w:tc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826</Words>
  <Characters>4636</Characters>
  <Lines>0</Lines>
  <Paragraphs>0</Paragraphs>
  <TotalTime>0</TotalTime>
  <ScaleCrop>false</ScaleCrop>
  <LinksUpToDate>false</LinksUpToDate>
  <CharactersWithSpaces>5419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2024-11-01T02:58:00Z</dcterms:created>
  <dc:creator>xiaobin liu</dc:creator>
  <cp:lastModifiedBy>雪峰</cp:lastModifiedBy>
  <dcterms:modified xsi:type="dcterms:W3CDTF">2026-01-19T08:33:34Z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eyJoZGlkIjoiM2MxYjI4ZDUxNDYwMWQ5ZmY5OTM4MTM1OTBhNGFjY2MiLCJ1c2VySWQiOiI2OTU2ODM4NDYifQ==</vt:lpwstr>
  </property>
  <property fmtid="{D5CDD505-2E9C-101B-9397-08002B2CF9AE}" pid="3" name="KSOProductBuildVer">
    <vt:lpwstr>2052-12.1.0.24657</vt:lpwstr>
  </property>
  <property fmtid="{D5CDD505-2E9C-101B-9397-08002B2CF9AE}" pid="4" name="ICV">
    <vt:lpwstr>1CC2739826FF4151AFE1353EA6E65085_12</vt:lpwstr>
  </property>
</Properties>
</file>